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98D" w:rsidRPr="00473CBE" w:rsidRDefault="007F69D5" w:rsidP="00A2598D">
      <w:pPr>
        <w:jc w:val="both"/>
        <w:rPr>
          <w:rFonts w:ascii="Century" w:hAnsi="Century" w:cs="Arial"/>
          <w:b/>
          <w:sz w:val="22"/>
          <w:szCs w:val="22"/>
        </w:rPr>
      </w:pPr>
      <w:r>
        <w:rPr>
          <w:rFonts w:ascii="Century" w:hAnsi="Century" w:cs="Arial"/>
          <w:b/>
          <w:sz w:val="22"/>
          <w:szCs w:val="22"/>
        </w:rPr>
        <w:t>LEI</w:t>
      </w:r>
      <w:r w:rsidR="000504A1">
        <w:rPr>
          <w:rFonts w:ascii="Century" w:hAnsi="Century" w:cs="Arial"/>
          <w:b/>
          <w:sz w:val="22"/>
          <w:szCs w:val="22"/>
        </w:rPr>
        <w:t xml:space="preserve"> MUNICIPAL</w:t>
      </w:r>
      <w:r>
        <w:rPr>
          <w:rFonts w:ascii="Century" w:hAnsi="Century" w:cs="Arial"/>
          <w:b/>
          <w:sz w:val="22"/>
          <w:szCs w:val="22"/>
        </w:rPr>
        <w:t xml:space="preserve"> </w:t>
      </w:r>
      <w:r w:rsidR="000504A1">
        <w:rPr>
          <w:rFonts w:ascii="Century" w:hAnsi="Century" w:cs="Arial"/>
          <w:b/>
          <w:sz w:val="22"/>
          <w:szCs w:val="22"/>
        </w:rPr>
        <w:t>1386</w:t>
      </w:r>
      <w:r w:rsidR="001E6B57" w:rsidRPr="00473CBE">
        <w:rPr>
          <w:rFonts w:ascii="Century" w:hAnsi="Century" w:cs="Arial"/>
          <w:b/>
          <w:sz w:val="22"/>
          <w:szCs w:val="22"/>
        </w:rPr>
        <w:t>/2019</w:t>
      </w:r>
      <w:r w:rsidR="000504A1">
        <w:rPr>
          <w:rFonts w:ascii="Century" w:hAnsi="Century" w:cs="Arial"/>
          <w:b/>
          <w:sz w:val="22"/>
          <w:szCs w:val="22"/>
        </w:rPr>
        <w:t>,</w:t>
      </w:r>
      <w:r>
        <w:rPr>
          <w:rFonts w:ascii="Century" w:hAnsi="Century" w:cs="Arial"/>
          <w:b/>
          <w:sz w:val="22"/>
          <w:szCs w:val="22"/>
        </w:rPr>
        <w:t xml:space="preserve"> AOS </w:t>
      </w:r>
      <w:r w:rsidR="000504A1">
        <w:rPr>
          <w:rFonts w:ascii="Century" w:hAnsi="Century" w:cs="Arial"/>
          <w:b/>
          <w:sz w:val="22"/>
          <w:szCs w:val="22"/>
        </w:rPr>
        <w:t>24</w:t>
      </w:r>
      <w:r>
        <w:rPr>
          <w:rFonts w:ascii="Century" w:hAnsi="Century" w:cs="Arial"/>
          <w:b/>
          <w:sz w:val="22"/>
          <w:szCs w:val="22"/>
        </w:rPr>
        <w:t xml:space="preserve"> </w:t>
      </w:r>
      <w:r w:rsidR="00A2598D" w:rsidRPr="00473CBE">
        <w:rPr>
          <w:rFonts w:ascii="Century" w:hAnsi="Century" w:cs="Arial"/>
          <w:b/>
          <w:sz w:val="22"/>
          <w:szCs w:val="22"/>
        </w:rPr>
        <w:t xml:space="preserve">DIAS DO MÊS DE </w:t>
      </w:r>
      <w:r w:rsidR="001E6B57" w:rsidRPr="00473CBE">
        <w:rPr>
          <w:rFonts w:ascii="Century" w:hAnsi="Century" w:cs="Arial"/>
          <w:b/>
          <w:sz w:val="22"/>
          <w:szCs w:val="22"/>
        </w:rPr>
        <w:t xml:space="preserve">JULHO DE </w:t>
      </w:r>
      <w:r w:rsidR="00473CBE" w:rsidRPr="00473CBE">
        <w:rPr>
          <w:rFonts w:ascii="Century" w:hAnsi="Century" w:cs="Arial"/>
          <w:b/>
          <w:sz w:val="22"/>
          <w:szCs w:val="22"/>
        </w:rPr>
        <w:t>2019.</w:t>
      </w:r>
    </w:p>
    <w:p w:rsidR="00A2598D" w:rsidRPr="00473CBE" w:rsidRDefault="00A2598D" w:rsidP="00A2598D">
      <w:pPr>
        <w:jc w:val="both"/>
        <w:rPr>
          <w:rFonts w:ascii="Century" w:hAnsi="Century" w:cs="Arial"/>
          <w:b/>
          <w:sz w:val="22"/>
          <w:szCs w:val="22"/>
        </w:rPr>
      </w:pPr>
    </w:p>
    <w:p w:rsidR="00A2598D" w:rsidRPr="00473CBE" w:rsidRDefault="00A2598D" w:rsidP="00A2598D">
      <w:pPr>
        <w:jc w:val="both"/>
        <w:rPr>
          <w:rFonts w:ascii="Century" w:hAnsi="Century" w:cs="Arial"/>
          <w:b/>
          <w:color w:val="FF0000"/>
          <w:sz w:val="22"/>
          <w:szCs w:val="22"/>
        </w:rPr>
      </w:pPr>
    </w:p>
    <w:p w:rsidR="00A2598D" w:rsidRPr="00473CBE" w:rsidRDefault="00A2598D" w:rsidP="00A2598D">
      <w:pPr>
        <w:jc w:val="both"/>
        <w:rPr>
          <w:rFonts w:ascii="Century" w:hAnsi="Century" w:cs="Arial"/>
          <w:b/>
          <w:color w:val="FF0000"/>
          <w:sz w:val="22"/>
          <w:szCs w:val="22"/>
        </w:rPr>
      </w:pPr>
    </w:p>
    <w:p w:rsidR="00A2598D" w:rsidRPr="00473CBE" w:rsidRDefault="00795BA4" w:rsidP="00795BA4">
      <w:pPr>
        <w:pStyle w:val="Recuodecorpodetexto"/>
        <w:ind w:left="1416"/>
        <w:jc w:val="both"/>
        <w:rPr>
          <w:rFonts w:ascii="Century" w:hAnsi="Century" w:cs="Arial"/>
          <w:b/>
          <w:sz w:val="22"/>
          <w:szCs w:val="22"/>
        </w:rPr>
      </w:pPr>
      <w:r>
        <w:rPr>
          <w:rFonts w:ascii="Century" w:hAnsi="Century"/>
          <w:b/>
          <w:sz w:val="22"/>
          <w:szCs w:val="22"/>
        </w:rPr>
        <w:t>ALTERA</w:t>
      </w:r>
      <w:proofErr w:type="gramStart"/>
      <w:r w:rsidR="00B9591C">
        <w:rPr>
          <w:rFonts w:ascii="Century" w:hAnsi="Century"/>
          <w:b/>
          <w:sz w:val="22"/>
          <w:szCs w:val="22"/>
        </w:rPr>
        <w:t xml:space="preserve"> </w:t>
      </w:r>
      <w:bookmarkStart w:id="0" w:name="_GoBack"/>
      <w:bookmarkEnd w:id="0"/>
      <w:r w:rsidR="00A2598D" w:rsidRPr="00473CBE">
        <w:rPr>
          <w:rFonts w:ascii="Century" w:hAnsi="Century"/>
          <w:b/>
          <w:sz w:val="22"/>
          <w:szCs w:val="22"/>
        </w:rPr>
        <w:t xml:space="preserve"> </w:t>
      </w:r>
      <w:proofErr w:type="gramEnd"/>
      <w:r w:rsidR="00A2598D" w:rsidRPr="00473CBE">
        <w:rPr>
          <w:rFonts w:ascii="Century" w:hAnsi="Century"/>
          <w:b/>
          <w:sz w:val="22"/>
          <w:szCs w:val="22"/>
        </w:rPr>
        <w:t>AS ALÍQUOTAS DE CONTRIBUICAO NORMAL E DA RECUPERAÇAÕ DO PASSIVO ATUARIAL CONSTANTES NOS ARTIGOS 12 E 13 DA LEI MUNICIPAL Nº1208/2016 QUE TRATA DO FUNDO MUNICIPAL DE APOSENTADORIA PENSÕES E BENEFÍCIOS DOS SERVIDORES PÚBLICOS MUNICIPAIS, E DÁ OUTRAS PROVIDÊNCIAS.</w:t>
      </w:r>
    </w:p>
    <w:p w:rsidR="00A2598D" w:rsidRPr="00473CBE" w:rsidRDefault="00A2598D" w:rsidP="00A2598D">
      <w:pPr>
        <w:ind w:left="2832" w:firstLine="3"/>
        <w:jc w:val="both"/>
        <w:rPr>
          <w:rFonts w:ascii="Century" w:hAnsi="Century" w:cs="Arial"/>
          <w:sz w:val="22"/>
          <w:szCs w:val="22"/>
        </w:rPr>
      </w:pPr>
    </w:p>
    <w:p w:rsidR="00A2598D" w:rsidRPr="00473CBE" w:rsidRDefault="00A2598D" w:rsidP="00A2598D">
      <w:pPr>
        <w:ind w:firstLine="1416"/>
        <w:jc w:val="both"/>
        <w:rPr>
          <w:rFonts w:ascii="Century" w:hAnsi="Century" w:cs="Arial"/>
          <w:b/>
          <w:sz w:val="22"/>
          <w:szCs w:val="22"/>
          <w:u w:val="single"/>
        </w:rPr>
      </w:pPr>
      <w:r w:rsidRPr="00473CBE">
        <w:rPr>
          <w:rFonts w:ascii="Century" w:hAnsi="Century" w:cs="Arial"/>
          <w:b/>
          <w:sz w:val="22"/>
          <w:szCs w:val="22"/>
        </w:rPr>
        <w:tab/>
      </w:r>
      <w:r w:rsidR="00072C10">
        <w:rPr>
          <w:rFonts w:ascii="Century" w:hAnsi="Century" w:cs="Arial"/>
          <w:b/>
          <w:sz w:val="22"/>
          <w:szCs w:val="22"/>
        </w:rPr>
        <w:t xml:space="preserve">       </w:t>
      </w:r>
      <w:r w:rsidRPr="00473CBE">
        <w:rPr>
          <w:rFonts w:ascii="Century" w:hAnsi="Century" w:cs="Arial"/>
          <w:b/>
          <w:sz w:val="22"/>
          <w:szCs w:val="22"/>
        </w:rPr>
        <w:t xml:space="preserve">O PREFEITO MUNICIPAL </w:t>
      </w:r>
      <w:r w:rsidRPr="00473CBE">
        <w:rPr>
          <w:rFonts w:ascii="Century" w:hAnsi="Century" w:cs="Arial"/>
          <w:sz w:val="22"/>
          <w:szCs w:val="22"/>
        </w:rPr>
        <w:t>de Sagrada Família, Estado do Rio Grande do Sul, FAZ SABER, em cumprimento ao disposto no Artigo 27, I e III da Lei Orgânica Municipal que a Câmara Mu</w:t>
      </w:r>
      <w:r w:rsidR="001E6B57" w:rsidRPr="00473CBE">
        <w:rPr>
          <w:rFonts w:ascii="Century" w:hAnsi="Century" w:cs="Arial"/>
          <w:sz w:val="22"/>
          <w:szCs w:val="22"/>
        </w:rPr>
        <w:t>nicipal de Vereadores aprov</w:t>
      </w:r>
      <w:r w:rsidR="000504A1">
        <w:rPr>
          <w:rFonts w:ascii="Century" w:hAnsi="Century" w:cs="Arial"/>
          <w:sz w:val="22"/>
          <w:szCs w:val="22"/>
        </w:rPr>
        <w:t>ou e</w:t>
      </w:r>
      <w:r w:rsidR="001E6B57" w:rsidRPr="00473CBE">
        <w:rPr>
          <w:rFonts w:ascii="Century" w:hAnsi="Century" w:cs="Arial"/>
          <w:sz w:val="22"/>
          <w:szCs w:val="22"/>
        </w:rPr>
        <w:t xml:space="preserve"> </w:t>
      </w:r>
      <w:r w:rsidRPr="00473CBE">
        <w:rPr>
          <w:rFonts w:ascii="Century" w:hAnsi="Century" w:cs="Arial"/>
          <w:sz w:val="22"/>
          <w:szCs w:val="22"/>
        </w:rPr>
        <w:t xml:space="preserve">ele sanciona a </w:t>
      </w:r>
      <w:r w:rsidRPr="00473CBE">
        <w:rPr>
          <w:rFonts w:ascii="Century" w:hAnsi="Century" w:cs="Arial"/>
          <w:b/>
          <w:sz w:val="22"/>
          <w:szCs w:val="22"/>
          <w:u w:val="single"/>
        </w:rPr>
        <w:t xml:space="preserve">S E GU I N T </w:t>
      </w:r>
      <w:proofErr w:type="gramStart"/>
      <w:r w:rsidR="00016EF3">
        <w:rPr>
          <w:rFonts w:ascii="Century" w:hAnsi="Century" w:cs="Arial"/>
          <w:b/>
          <w:sz w:val="22"/>
          <w:szCs w:val="22"/>
          <w:u w:val="single"/>
        </w:rPr>
        <w:t>E</w:t>
      </w:r>
      <w:proofErr w:type="gramEnd"/>
    </w:p>
    <w:p w:rsidR="00A2598D" w:rsidRPr="00473CBE" w:rsidRDefault="00A2598D" w:rsidP="00A2598D">
      <w:pPr>
        <w:ind w:firstLine="1416"/>
        <w:jc w:val="both"/>
        <w:rPr>
          <w:rFonts w:ascii="Century" w:hAnsi="Century" w:cs="Arial"/>
          <w:b/>
          <w:sz w:val="22"/>
          <w:szCs w:val="22"/>
          <w:u w:val="single"/>
        </w:rPr>
      </w:pPr>
    </w:p>
    <w:p w:rsidR="00A2598D" w:rsidRPr="00473CBE" w:rsidRDefault="00A2598D" w:rsidP="00A2598D">
      <w:pPr>
        <w:ind w:left="3540"/>
        <w:jc w:val="both"/>
        <w:rPr>
          <w:rFonts w:ascii="Century" w:hAnsi="Century" w:cs="Arial"/>
          <w:b/>
          <w:sz w:val="22"/>
          <w:szCs w:val="22"/>
        </w:rPr>
      </w:pPr>
      <w:r w:rsidRPr="00473CBE">
        <w:rPr>
          <w:rFonts w:ascii="Century" w:hAnsi="Century" w:cs="Arial"/>
          <w:b/>
          <w:sz w:val="22"/>
          <w:szCs w:val="22"/>
        </w:rPr>
        <w:t>L E I</w:t>
      </w:r>
      <w:r w:rsidR="00016EF3">
        <w:rPr>
          <w:rFonts w:ascii="Century" w:hAnsi="Century" w:cs="Arial"/>
          <w:b/>
          <w:sz w:val="22"/>
          <w:szCs w:val="22"/>
        </w:rPr>
        <w:t>:</w:t>
      </w:r>
    </w:p>
    <w:p w:rsidR="001E6B57" w:rsidRPr="00473CBE" w:rsidRDefault="001E6B57" w:rsidP="00A2598D">
      <w:pPr>
        <w:ind w:left="3540"/>
        <w:jc w:val="both"/>
        <w:rPr>
          <w:rFonts w:ascii="Century" w:hAnsi="Century" w:cs="Arial"/>
          <w:b/>
          <w:sz w:val="22"/>
          <w:szCs w:val="22"/>
        </w:rPr>
      </w:pPr>
    </w:p>
    <w:p w:rsidR="00A2598D" w:rsidRPr="00473CBE" w:rsidRDefault="00A2598D" w:rsidP="00016EF3">
      <w:pPr>
        <w:ind w:firstLine="2552"/>
        <w:jc w:val="both"/>
        <w:rPr>
          <w:rFonts w:ascii="Century" w:hAnsi="Century" w:cs="Arial"/>
          <w:sz w:val="22"/>
          <w:szCs w:val="22"/>
        </w:rPr>
      </w:pPr>
      <w:r w:rsidRPr="00473CBE">
        <w:rPr>
          <w:rFonts w:ascii="Century" w:hAnsi="Century" w:cs="Arial"/>
          <w:b/>
          <w:sz w:val="22"/>
          <w:szCs w:val="22"/>
        </w:rPr>
        <w:t xml:space="preserve">Art. 1º </w:t>
      </w:r>
      <w:r w:rsidRPr="00473CBE">
        <w:rPr>
          <w:rFonts w:ascii="Century" w:hAnsi="Century" w:cs="Arial"/>
          <w:sz w:val="22"/>
          <w:szCs w:val="22"/>
        </w:rPr>
        <w:t xml:space="preserve">Fica o executivo municipal autorizado a alterar a menor a alíquota de contribuição normal constantes </w:t>
      </w:r>
      <w:proofErr w:type="gramStart"/>
      <w:r w:rsidRPr="00473CBE">
        <w:rPr>
          <w:rFonts w:ascii="Century" w:hAnsi="Century" w:cs="Arial"/>
          <w:sz w:val="22"/>
          <w:szCs w:val="22"/>
        </w:rPr>
        <w:t>no Artigos 12</w:t>
      </w:r>
      <w:proofErr w:type="gramEnd"/>
      <w:r w:rsidRPr="00473CBE">
        <w:rPr>
          <w:rFonts w:ascii="Century" w:hAnsi="Century" w:cs="Arial"/>
          <w:sz w:val="22"/>
          <w:szCs w:val="22"/>
        </w:rPr>
        <w:t xml:space="preserve"> da Lei Municipal nº</w:t>
      </w:r>
      <w:r w:rsidR="00016EF3">
        <w:rPr>
          <w:rFonts w:ascii="Century" w:hAnsi="Century" w:cs="Arial"/>
          <w:sz w:val="22"/>
          <w:szCs w:val="22"/>
        </w:rPr>
        <w:t xml:space="preserve"> </w:t>
      </w:r>
      <w:r w:rsidRPr="00473CBE">
        <w:rPr>
          <w:rFonts w:ascii="Century" w:hAnsi="Century" w:cs="Arial"/>
          <w:sz w:val="22"/>
          <w:szCs w:val="22"/>
        </w:rPr>
        <w:t>1208/2016, do fundo municipal de aposentadoria, pensões e benefícios dos servidores públicos municipais, nos termos do</w:t>
      </w:r>
      <w:r w:rsidR="001E6B57" w:rsidRPr="00473CBE">
        <w:rPr>
          <w:rFonts w:ascii="Century" w:hAnsi="Century" w:cs="Arial"/>
          <w:sz w:val="22"/>
          <w:szCs w:val="22"/>
        </w:rPr>
        <w:t>s</w:t>
      </w:r>
      <w:r w:rsidRPr="00473CBE">
        <w:rPr>
          <w:rFonts w:ascii="Century" w:hAnsi="Century" w:cs="Arial"/>
          <w:sz w:val="22"/>
          <w:szCs w:val="22"/>
        </w:rPr>
        <w:t xml:space="preserve"> </w:t>
      </w:r>
      <w:r w:rsidR="001E6B57" w:rsidRPr="00473CBE">
        <w:rPr>
          <w:rFonts w:ascii="Century" w:hAnsi="Century" w:cs="Arial"/>
          <w:sz w:val="22"/>
          <w:szCs w:val="22"/>
        </w:rPr>
        <w:t>cálculos atuariais exercício</w:t>
      </w:r>
      <w:r w:rsidR="007700E7">
        <w:rPr>
          <w:rFonts w:ascii="Century" w:hAnsi="Century" w:cs="Arial"/>
          <w:sz w:val="22"/>
          <w:szCs w:val="22"/>
        </w:rPr>
        <w:t>s</w:t>
      </w:r>
      <w:r w:rsidR="001E6B57" w:rsidRPr="00473CBE">
        <w:rPr>
          <w:rFonts w:ascii="Century" w:hAnsi="Century" w:cs="Arial"/>
          <w:sz w:val="22"/>
          <w:szCs w:val="22"/>
        </w:rPr>
        <w:t xml:space="preserve"> 2.017, 2.018 e 2.019</w:t>
      </w:r>
      <w:r w:rsidRPr="00473CBE">
        <w:rPr>
          <w:rFonts w:ascii="Century" w:hAnsi="Century" w:cs="Arial"/>
          <w:sz w:val="22"/>
          <w:szCs w:val="22"/>
        </w:rPr>
        <w:t xml:space="preserve">, a qual passa a ser de </w:t>
      </w:r>
      <w:r w:rsidR="001E6B57" w:rsidRPr="00473CBE">
        <w:rPr>
          <w:rFonts w:ascii="Century" w:hAnsi="Century" w:cs="Arial"/>
          <w:b/>
          <w:sz w:val="22"/>
          <w:szCs w:val="22"/>
        </w:rPr>
        <w:t>12,39</w:t>
      </w:r>
      <w:r w:rsidRPr="00473CBE">
        <w:rPr>
          <w:rFonts w:ascii="Century" w:hAnsi="Century" w:cs="Arial"/>
          <w:b/>
          <w:sz w:val="22"/>
          <w:szCs w:val="22"/>
        </w:rPr>
        <w:t xml:space="preserve">% (doze vírgula </w:t>
      </w:r>
      <w:r w:rsidR="001E6B57" w:rsidRPr="00473CBE">
        <w:rPr>
          <w:rFonts w:ascii="Century" w:hAnsi="Century" w:cs="Arial"/>
          <w:b/>
          <w:sz w:val="22"/>
          <w:szCs w:val="22"/>
        </w:rPr>
        <w:t>trinta e nove</w:t>
      </w:r>
      <w:r w:rsidRPr="00473CBE">
        <w:rPr>
          <w:rFonts w:ascii="Century" w:hAnsi="Century" w:cs="Arial"/>
          <w:b/>
          <w:sz w:val="22"/>
          <w:szCs w:val="22"/>
        </w:rPr>
        <w:t xml:space="preserve"> por cento)</w:t>
      </w:r>
      <w:r w:rsidRPr="00473CBE">
        <w:rPr>
          <w:rFonts w:ascii="Century" w:hAnsi="Century" w:cs="Arial"/>
          <w:sz w:val="22"/>
          <w:szCs w:val="22"/>
        </w:rPr>
        <w:t xml:space="preserve"> incidente sobre a base de cálculo prevista no art. 17, I a V, da Lei Municipal nº 1208/2016.</w:t>
      </w:r>
    </w:p>
    <w:p w:rsidR="00A2598D" w:rsidRPr="00473CBE" w:rsidRDefault="00A2598D" w:rsidP="00A2598D">
      <w:pPr>
        <w:ind w:firstLine="2552"/>
        <w:jc w:val="both"/>
        <w:rPr>
          <w:rFonts w:ascii="Century" w:hAnsi="Century" w:cs="Arial"/>
          <w:sz w:val="22"/>
          <w:szCs w:val="22"/>
        </w:rPr>
      </w:pPr>
      <w:r w:rsidRPr="00473CBE">
        <w:rPr>
          <w:rFonts w:ascii="Century" w:hAnsi="Century" w:cs="Arial"/>
          <w:b/>
          <w:sz w:val="22"/>
          <w:szCs w:val="22"/>
        </w:rPr>
        <w:t xml:space="preserve">Art. 2º </w:t>
      </w:r>
      <w:r w:rsidRPr="00473CBE">
        <w:rPr>
          <w:rFonts w:ascii="Century" w:hAnsi="Century" w:cs="Arial"/>
          <w:sz w:val="22"/>
          <w:szCs w:val="22"/>
        </w:rPr>
        <w:t xml:space="preserve">Fica o executivo municipal autorizado a alterar a maior a alíquota de contribuição de recuperação do passivo atuarial, constantes </w:t>
      </w:r>
      <w:proofErr w:type="gramStart"/>
      <w:r w:rsidRPr="00473CBE">
        <w:rPr>
          <w:rFonts w:ascii="Century" w:hAnsi="Century" w:cs="Arial"/>
          <w:sz w:val="22"/>
          <w:szCs w:val="22"/>
        </w:rPr>
        <w:t>no Artigos 13</w:t>
      </w:r>
      <w:proofErr w:type="gramEnd"/>
      <w:r w:rsidRPr="00473CBE">
        <w:rPr>
          <w:rFonts w:ascii="Century" w:hAnsi="Century" w:cs="Arial"/>
          <w:sz w:val="22"/>
          <w:szCs w:val="22"/>
        </w:rPr>
        <w:t xml:space="preserve"> da Lei Municipal nº1208/2016, do fundo municipal de aposentadoria, pensões e benefícios dos servidores públicos municipais, nos termos do</w:t>
      </w:r>
      <w:r w:rsidR="007700E7">
        <w:rPr>
          <w:rFonts w:ascii="Century" w:hAnsi="Century" w:cs="Arial"/>
          <w:sz w:val="22"/>
          <w:szCs w:val="22"/>
        </w:rPr>
        <w:t>s</w:t>
      </w:r>
      <w:r w:rsidRPr="00473CBE">
        <w:rPr>
          <w:rFonts w:ascii="Century" w:hAnsi="Century" w:cs="Arial"/>
          <w:sz w:val="22"/>
          <w:szCs w:val="22"/>
        </w:rPr>
        <w:t xml:space="preserve"> cálculo</w:t>
      </w:r>
      <w:r w:rsidR="007700E7">
        <w:rPr>
          <w:rFonts w:ascii="Century" w:hAnsi="Century" w:cs="Arial"/>
          <w:sz w:val="22"/>
          <w:szCs w:val="22"/>
        </w:rPr>
        <w:t>s</w:t>
      </w:r>
      <w:r w:rsidRPr="00473CBE">
        <w:rPr>
          <w:rFonts w:ascii="Century" w:hAnsi="Century" w:cs="Arial"/>
          <w:sz w:val="22"/>
          <w:szCs w:val="22"/>
        </w:rPr>
        <w:t xml:space="preserve"> atuaria</w:t>
      </w:r>
      <w:r w:rsidR="007700E7">
        <w:rPr>
          <w:rFonts w:ascii="Century" w:hAnsi="Century" w:cs="Arial"/>
          <w:sz w:val="22"/>
          <w:szCs w:val="22"/>
        </w:rPr>
        <w:t>is</w:t>
      </w:r>
      <w:r w:rsidRPr="00473CBE">
        <w:rPr>
          <w:rFonts w:ascii="Century" w:hAnsi="Century" w:cs="Arial"/>
          <w:sz w:val="22"/>
          <w:szCs w:val="22"/>
        </w:rPr>
        <w:t xml:space="preserve"> exercí</w:t>
      </w:r>
      <w:r w:rsidR="00492E58" w:rsidRPr="00473CBE">
        <w:rPr>
          <w:rFonts w:ascii="Century" w:hAnsi="Century" w:cs="Arial"/>
          <w:sz w:val="22"/>
          <w:szCs w:val="22"/>
        </w:rPr>
        <w:t>cio</w:t>
      </w:r>
      <w:r w:rsidR="007700E7">
        <w:rPr>
          <w:rFonts w:ascii="Century" w:hAnsi="Century" w:cs="Arial"/>
          <w:sz w:val="22"/>
          <w:szCs w:val="22"/>
        </w:rPr>
        <w:t>s</w:t>
      </w:r>
      <w:r w:rsidR="00492E58" w:rsidRPr="00473CBE">
        <w:rPr>
          <w:rFonts w:ascii="Century" w:hAnsi="Century" w:cs="Arial"/>
          <w:sz w:val="22"/>
          <w:szCs w:val="22"/>
        </w:rPr>
        <w:t xml:space="preserve"> 2.017, 2.018 e 2.019</w:t>
      </w:r>
      <w:r w:rsidRPr="00473CBE">
        <w:rPr>
          <w:rFonts w:ascii="Century" w:hAnsi="Century" w:cs="Arial"/>
          <w:sz w:val="22"/>
          <w:szCs w:val="22"/>
        </w:rPr>
        <w:t>,</w:t>
      </w:r>
      <w:r w:rsidR="00492E58" w:rsidRPr="00473CBE">
        <w:rPr>
          <w:rFonts w:ascii="Century" w:hAnsi="Century" w:cs="Arial"/>
          <w:sz w:val="22"/>
          <w:szCs w:val="22"/>
        </w:rPr>
        <w:t xml:space="preserve"> </w:t>
      </w:r>
      <w:r w:rsidRPr="00473CBE">
        <w:rPr>
          <w:rFonts w:ascii="Century" w:hAnsi="Century" w:cs="Arial"/>
          <w:sz w:val="22"/>
          <w:szCs w:val="22"/>
        </w:rPr>
        <w:t xml:space="preserve">a qual passa a ser de </w:t>
      </w:r>
      <w:r w:rsidR="00492E58" w:rsidRPr="00473CBE">
        <w:rPr>
          <w:rFonts w:ascii="Century" w:hAnsi="Century" w:cs="Arial"/>
          <w:b/>
          <w:sz w:val="22"/>
          <w:szCs w:val="22"/>
        </w:rPr>
        <w:t>10,56</w:t>
      </w:r>
      <w:r w:rsidRPr="00473CBE">
        <w:rPr>
          <w:rFonts w:ascii="Century" w:hAnsi="Century" w:cs="Arial"/>
          <w:b/>
          <w:sz w:val="22"/>
          <w:szCs w:val="22"/>
        </w:rPr>
        <w:t>% (</w:t>
      </w:r>
      <w:r w:rsidR="00492E58" w:rsidRPr="00473CBE">
        <w:rPr>
          <w:rFonts w:ascii="Century" w:hAnsi="Century" w:cs="Arial"/>
          <w:b/>
          <w:sz w:val="22"/>
          <w:szCs w:val="22"/>
        </w:rPr>
        <w:t xml:space="preserve">dez </w:t>
      </w:r>
      <w:r w:rsidRPr="00473CBE">
        <w:rPr>
          <w:rFonts w:ascii="Century" w:hAnsi="Century" w:cs="Arial"/>
          <w:b/>
          <w:sz w:val="22"/>
          <w:szCs w:val="22"/>
        </w:rPr>
        <w:t xml:space="preserve">vírgula </w:t>
      </w:r>
      <w:r w:rsidR="00473CBE" w:rsidRPr="00473CBE">
        <w:rPr>
          <w:rFonts w:ascii="Century" w:hAnsi="Century" w:cs="Arial"/>
          <w:b/>
          <w:sz w:val="22"/>
          <w:szCs w:val="22"/>
        </w:rPr>
        <w:t>cinquenta</w:t>
      </w:r>
      <w:r w:rsidRPr="00473CBE">
        <w:rPr>
          <w:rFonts w:ascii="Century" w:hAnsi="Century" w:cs="Arial"/>
          <w:b/>
          <w:sz w:val="22"/>
          <w:szCs w:val="22"/>
        </w:rPr>
        <w:t xml:space="preserve"> e </w:t>
      </w:r>
      <w:r w:rsidR="00492E58" w:rsidRPr="00473CBE">
        <w:rPr>
          <w:rFonts w:ascii="Century" w:hAnsi="Century" w:cs="Arial"/>
          <w:b/>
          <w:sz w:val="22"/>
          <w:szCs w:val="22"/>
        </w:rPr>
        <w:t>seis</w:t>
      </w:r>
      <w:r w:rsidRPr="00473CBE">
        <w:rPr>
          <w:rFonts w:ascii="Century" w:hAnsi="Century" w:cs="Arial"/>
          <w:b/>
          <w:sz w:val="22"/>
          <w:szCs w:val="22"/>
        </w:rPr>
        <w:t xml:space="preserve"> por cento)</w:t>
      </w:r>
      <w:r w:rsidRPr="00473CBE">
        <w:rPr>
          <w:rFonts w:ascii="Century" w:hAnsi="Century" w:cs="Arial"/>
          <w:sz w:val="22"/>
          <w:szCs w:val="22"/>
        </w:rPr>
        <w:t xml:space="preserve"> incidente sobre a base de cálculo prevista no art. 17, I a V, da Lei Municipal nº 1208/2016.</w:t>
      </w:r>
    </w:p>
    <w:p w:rsidR="00A2598D" w:rsidRPr="00BC4289" w:rsidRDefault="00A2598D" w:rsidP="00016EF3">
      <w:pPr>
        <w:jc w:val="both"/>
        <w:rPr>
          <w:rFonts w:ascii="Century" w:hAnsi="Century" w:cs="Arial"/>
          <w:sz w:val="22"/>
          <w:szCs w:val="22"/>
        </w:rPr>
      </w:pPr>
    </w:p>
    <w:p w:rsidR="00A2598D" w:rsidRPr="00BC4289" w:rsidRDefault="00A2598D" w:rsidP="00A2598D">
      <w:pPr>
        <w:spacing w:after="100"/>
        <w:jc w:val="both"/>
        <w:rPr>
          <w:rFonts w:ascii="Century" w:hAnsi="Century" w:cs="Arial"/>
          <w:sz w:val="22"/>
          <w:szCs w:val="22"/>
        </w:rPr>
      </w:pPr>
      <w:r w:rsidRPr="00BC4289">
        <w:rPr>
          <w:rFonts w:ascii="Century" w:hAnsi="Century" w:cs="Arial"/>
          <w:sz w:val="22"/>
          <w:szCs w:val="22"/>
        </w:rPr>
        <w:tab/>
      </w:r>
      <w:r w:rsidRPr="00BC4289">
        <w:rPr>
          <w:rFonts w:ascii="Century" w:hAnsi="Century" w:cs="Arial"/>
          <w:sz w:val="22"/>
          <w:szCs w:val="22"/>
        </w:rPr>
        <w:tab/>
      </w:r>
      <w:r w:rsidRPr="00BC4289">
        <w:rPr>
          <w:rFonts w:ascii="Century" w:hAnsi="Century" w:cs="Arial"/>
          <w:sz w:val="22"/>
          <w:szCs w:val="22"/>
        </w:rPr>
        <w:tab/>
      </w:r>
      <w:r w:rsidR="00016EF3">
        <w:rPr>
          <w:rFonts w:ascii="Century" w:hAnsi="Century" w:cs="Arial"/>
          <w:sz w:val="22"/>
          <w:szCs w:val="22"/>
        </w:rPr>
        <w:t xml:space="preserve">         </w:t>
      </w:r>
      <w:r w:rsidR="00046D0A">
        <w:rPr>
          <w:rFonts w:ascii="Century" w:hAnsi="Century" w:cs="Arial"/>
          <w:b/>
          <w:sz w:val="22"/>
          <w:szCs w:val="22"/>
        </w:rPr>
        <w:t xml:space="preserve">§ </w:t>
      </w:r>
      <w:r w:rsidR="00BC4289" w:rsidRPr="00BC4289">
        <w:rPr>
          <w:rFonts w:ascii="Century" w:hAnsi="Century" w:cs="Arial"/>
          <w:b/>
          <w:sz w:val="22"/>
          <w:szCs w:val="22"/>
        </w:rPr>
        <w:t>1º</w:t>
      </w:r>
      <w:r w:rsidRPr="00BC4289">
        <w:rPr>
          <w:rFonts w:ascii="Century" w:hAnsi="Century" w:cs="Arial"/>
          <w:b/>
          <w:sz w:val="22"/>
          <w:szCs w:val="22"/>
        </w:rPr>
        <w:t xml:space="preserve"> -</w:t>
      </w:r>
      <w:r w:rsidRPr="00BC4289">
        <w:rPr>
          <w:rFonts w:ascii="Century" w:hAnsi="Century" w:cs="Arial"/>
          <w:sz w:val="22"/>
          <w:szCs w:val="22"/>
        </w:rPr>
        <w:t xml:space="preserve"> A alíquota prevista no caput, no que se refere à recuperação do passivo atuarial para os exercícios seguintes, </w:t>
      </w:r>
      <w:r w:rsidR="00BC4289" w:rsidRPr="00BC4289">
        <w:rPr>
          <w:rFonts w:ascii="Century" w:hAnsi="Century" w:cs="Arial"/>
          <w:sz w:val="22"/>
          <w:szCs w:val="22"/>
        </w:rPr>
        <w:t>e em relação à competência retroativa de 2018</w:t>
      </w:r>
      <w:r w:rsidRPr="00BC4289">
        <w:rPr>
          <w:rFonts w:ascii="Century" w:hAnsi="Century" w:cs="Arial"/>
          <w:sz w:val="22"/>
          <w:szCs w:val="22"/>
        </w:rPr>
        <w:t xml:space="preserve">, será a prevista na tabela abaixo, ou </w:t>
      </w:r>
      <w:r w:rsidR="00BC4289" w:rsidRPr="00BC4289">
        <w:rPr>
          <w:rFonts w:ascii="Century" w:hAnsi="Century" w:cs="Arial"/>
          <w:sz w:val="22"/>
          <w:szCs w:val="22"/>
        </w:rPr>
        <w:t xml:space="preserve">em </w:t>
      </w:r>
      <w:r w:rsidRPr="00BC4289">
        <w:rPr>
          <w:rFonts w:ascii="Century" w:hAnsi="Century" w:cs="Arial"/>
          <w:sz w:val="22"/>
          <w:szCs w:val="22"/>
        </w:rPr>
        <w:t>nova a ser indicada em novo cálculo atuarial: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BC4289" w:rsidRPr="00BC4289" w:rsidTr="00A2598D">
        <w:trPr>
          <w:jc w:val="center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8D" w:rsidRPr="00BC4289" w:rsidRDefault="00A2598D">
            <w:pPr>
              <w:spacing w:after="100"/>
              <w:jc w:val="center"/>
              <w:rPr>
                <w:rFonts w:ascii="Century" w:hAnsi="Century" w:cs="Arial"/>
                <w:b/>
                <w:sz w:val="22"/>
                <w:szCs w:val="22"/>
                <w:lang w:val="en-US" w:eastAsia="en-US" w:bidi="en-US"/>
              </w:rPr>
            </w:pPr>
            <w:r w:rsidRPr="00BC4289">
              <w:rPr>
                <w:rFonts w:ascii="Century" w:hAnsi="Century" w:cs="Arial"/>
                <w:b/>
                <w:sz w:val="22"/>
                <w:szCs w:val="22"/>
                <w:lang w:val="en-US" w:eastAsia="en-US" w:bidi="en-US"/>
              </w:rPr>
              <w:t>Alíquota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8D" w:rsidRPr="00BC4289" w:rsidRDefault="00A2598D">
            <w:pPr>
              <w:spacing w:after="100"/>
              <w:jc w:val="center"/>
              <w:rPr>
                <w:rFonts w:ascii="Century" w:hAnsi="Century" w:cs="Arial"/>
                <w:b/>
                <w:sz w:val="22"/>
                <w:szCs w:val="22"/>
                <w:lang w:val="en-US" w:eastAsia="en-US" w:bidi="en-US"/>
              </w:rPr>
            </w:pPr>
            <w:r w:rsidRPr="00BC4289">
              <w:rPr>
                <w:rFonts w:ascii="Century" w:hAnsi="Century" w:cs="Arial"/>
                <w:b/>
                <w:sz w:val="22"/>
                <w:szCs w:val="22"/>
                <w:lang w:val="en-US" w:eastAsia="en-US" w:bidi="en-US"/>
              </w:rPr>
              <w:t>Competência inicial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8D" w:rsidRPr="00BC4289" w:rsidRDefault="00A2598D">
            <w:pPr>
              <w:spacing w:after="100"/>
              <w:jc w:val="center"/>
              <w:rPr>
                <w:rFonts w:ascii="Century" w:hAnsi="Century" w:cs="Arial"/>
                <w:b/>
                <w:sz w:val="22"/>
                <w:szCs w:val="22"/>
                <w:lang w:val="en-US" w:eastAsia="en-US" w:bidi="en-US"/>
              </w:rPr>
            </w:pPr>
            <w:r w:rsidRPr="00BC4289">
              <w:rPr>
                <w:rFonts w:ascii="Century" w:hAnsi="Century" w:cs="Arial"/>
                <w:b/>
                <w:sz w:val="22"/>
                <w:szCs w:val="22"/>
                <w:lang w:val="en-US" w:eastAsia="en-US" w:bidi="en-US"/>
              </w:rPr>
              <w:t>Competência final</w:t>
            </w:r>
          </w:p>
        </w:tc>
      </w:tr>
      <w:tr w:rsidR="00BC4289" w:rsidRPr="00BC4289" w:rsidTr="00A2598D">
        <w:trPr>
          <w:jc w:val="center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8D" w:rsidRPr="00BC4289" w:rsidRDefault="00A2598D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8D" w:rsidRPr="00BC4289" w:rsidRDefault="00A2598D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8D" w:rsidRPr="00BC4289" w:rsidRDefault="00A2598D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C4289" w:rsidRPr="00BC4289" w:rsidTr="00A2598D">
        <w:trPr>
          <w:jc w:val="center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8D" w:rsidRPr="00BC4289" w:rsidRDefault="00A2598D">
            <w:pPr>
              <w:spacing w:after="100"/>
              <w:jc w:val="center"/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</w:pPr>
            <w:r w:rsidRPr="00BC4289"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  <w:t>10,56%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8D" w:rsidRPr="00BC4289" w:rsidRDefault="00A2598D">
            <w:pPr>
              <w:spacing w:after="100"/>
              <w:jc w:val="center"/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</w:pPr>
            <w:r w:rsidRPr="00BC4289"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  <w:t>Janeiro de 2018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8D" w:rsidRPr="00BC4289" w:rsidRDefault="00492E58">
            <w:pPr>
              <w:spacing w:after="100"/>
              <w:jc w:val="center"/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</w:pPr>
            <w:r w:rsidRPr="00BC4289"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  <w:t>dezembro de 2018</w:t>
            </w:r>
          </w:p>
        </w:tc>
      </w:tr>
      <w:tr w:rsidR="00492E58" w:rsidRPr="00BC4289" w:rsidTr="00A2598D">
        <w:trPr>
          <w:jc w:val="center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58" w:rsidRPr="00BC4289" w:rsidRDefault="00492E58">
            <w:pPr>
              <w:spacing w:after="100"/>
              <w:jc w:val="center"/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</w:pPr>
            <w:r w:rsidRPr="00BC4289"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  <w:t>10,56</w:t>
            </w:r>
            <w:r w:rsidR="007700E7" w:rsidRPr="00BC4289"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  <w:t>%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58" w:rsidRPr="00BC4289" w:rsidRDefault="00492E58">
            <w:pPr>
              <w:spacing w:after="100"/>
              <w:jc w:val="center"/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</w:pPr>
            <w:r w:rsidRPr="00BC4289"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  <w:t>Janeiro de 2019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58" w:rsidRPr="00BC4289" w:rsidRDefault="00492E58">
            <w:pPr>
              <w:spacing w:after="100"/>
              <w:jc w:val="center"/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</w:pPr>
            <w:r w:rsidRPr="00BC4289">
              <w:rPr>
                <w:rFonts w:ascii="Century" w:hAnsi="Century" w:cs="Arial"/>
                <w:sz w:val="22"/>
                <w:szCs w:val="22"/>
                <w:lang w:val="en-US" w:eastAsia="en-US" w:bidi="en-US"/>
              </w:rPr>
              <w:t>Dezembro de 2041</w:t>
            </w:r>
          </w:p>
        </w:tc>
      </w:tr>
    </w:tbl>
    <w:p w:rsidR="00A2598D" w:rsidRPr="00BC4289" w:rsidRDefault="00A2598D" w:rsidP="00A2598D">
      <w:pPr>
        <w:pStyle w:val="Corpodetexto"/>
        <w:rPr>
          <w:rFonts w:ascii="Century" w:hAnsi="Century" w:cs="Arial"/>
          <w:sz w:val="22"/>
          <w:szCs w:val="22"/>
        </w:rPr>
      </w:pPr>
    </w:p>
    <w:p w:rsidR="00A2598D" w:rsidRPr="00BC4289" w:rsidRDefault="00BC4289" w:rsidP="00A2598D">
      <w:pPr>
        <w:pStyle w:val="Corpodetexto"/>
        <w:rPr>
          <w:rFonts w:ascii="Century" w:hAnsi="Century" w:cs="Arial"/>
          <w:sz w:val="22"/>
          <w:szCs w:val="22"/>
        </w:rPr>
      </w:pPr>
      <w:r w:rsidRPr="00BC4289">
        <w:rPr>
          <w:rFonts w:ascii="Century" w:hAnsi="Century" w:cs="Arial"/>
          <w:sz w:val="22"/>
          <w:szCs w:val="22"/>
        </w:rPr>
        <w:tab/>
      </w:r>
      <w:r w:rsidRPr="00BC4289">
        <w:rPr>
          <w:rFonts w:ascii="Century" w:hAnsi="Century" w:cs="Arial"/>
          <w:sz w:val="22"/>
          <w:szCs w:val="22"/>
        </w:rPr>
        <w:tab/>
      </w:r>
      <w:r w:rsidRPr="00BC4289">
        <w:rPr>
          <w:rFonts w:ascii="Century" w:hAnsi="Century" w:cs="Arial"/>
          <w:sz w:val="22"/>
          <w:szCs w:val="22"/>
        </w:rPr>
        <w:tab/>
      </w:r>
      <w:r w:rsidR="00016EF3">
        <w:rPr>
          <w:rFonts w:ascii="Century" w:hAnsi="Century" w:cs="Arial"/>
          <w:sz w:val="22"/>
          <w:szCs w:val="22"/>
        </w:rPr>
        <w:t xml:space="preserve">          </w:t>
      </w:r>
      <w:r w:rsidRPr="00046D0A">
        <w:rPr>
          <w:rFonts w:ascii="Century" w:hAnsi="Century" w:cs="Arial"/>
          <w:b/>
          <w:sz w:val="22"/>
          <w:szCs w:val="22"/>
        </w:rPr>
        <w:t>§ 2º</w:t>
      </w:r>
      <w:r w:rsidRPr="00BC4289">
        <w:rPr>
          <w:rFonts w:ascii="Century" w:hAnsi="Century" w:cs="Arial"/>
          <w:sz w:val="22"/>
          <w:szCs w:val="22"/>
        </w:rPr>
        <w:t>- a previsão de retroação à competência 2018</w:t>
      </w:r>
      <w:r w:rsidR="00016EF3">
        <w:rPr>
          <w:rFonts w:ascii="Century" w:hAnsi="Century" w:cs="Arial"/>
          <w:sz w:val="22"/>
          <w:szCs w:val="22"/>
        </w:rPr>
        <w:t>, prevista no parágrafo primeiro</w:t>
      </w:r>
      <w:r w:rsidR="00E37011">
        <w:rPr>
          <w:rFonts w:ascii="Century" w:hAnsi="Century" w:cs="Arial"/>
          <w:sz w:val="22"/>
          <w:szCs w:val="22"/>
        </w:rPr>
        <w:t xml:space="preserve">, </w:t>
      </w:r>
      <w:r w:rsidRPr="00BC4289">
        <w:rPr>
          <w:rFonts w:ascii="Century" w:hAnsi="Century" w:cs="Arial"/>
          <w:sz w:val="22"/>
          <w:szCs w:val="22"/>
        </w:rPr>
        <w:t>é levado em consideração que na previsão em relação àquela competência, prevista na Lei Mun</w:t>
      </w:r>
      <w:r w:rsidR="00FC5CE7">
        <w:rPr>
          <w:rFonts w:ascii="Century" w:hAnsi="Century" w:cs="Arial"/>
          <w:sz w:val="22"/>
          <w:szCs w:val="22"/>
        </w:rPr>
        <w:t>icipal nº</w:t>
      </w:r>
      <w:r w:rsidR="00016EF3">
        <w:rPr>
          <w:rFonts w:ascii="Century" w:hAnsi="Century" w:cs="Arial"/>
          <w:sz w:val="22"/>
          <w:szCs w:val="22"/>
        </w:rPr>
        <w:t xml:space="preserve"> </w:t>
      </w:r>
      <w:r w:rsidR="00FC5CE7">
        <w:rPr>
          <w:rFonts w:ascii="Century" w:hAnsi="Century" w:cs="Arial"/>
          <w:sz w:val="22"/>
          <w:szCs w:val="22"/>
        </w:rPr>
        <w:t xml:space="preserve">1.301/17, houve erro </w:t>
      </w:r>
      <w:r w:rsidRPr="00BC4289">
        <w:rPr>
          <w:rFonts w:ascii="Century" w:hAnsi="Century" w:cs="Arial"/>
          <w:sz w:val="22"/>
          <w:szCs w:val="22"/>
        </w:rPr>
        <w:t>material, necessitando ser corrigido.</w:t>
      </w:r>
    </w:p>
    <w:p w:rsidR="00016EF3" w:rsidRDefault="00A2598D" w:rsidP="00A2598D">
      <w:pPr>
        <w:pStyle w:val="Corpodetexto"/>
        <w:rPr>
          <w:rFonts w:ascii="Century" w:hAnsi="Century" w:cs="Arial"/>
          <w:sz w:val="22"/>
          <w:szCs w:val="22"/>
        </w:rPr>
      </w:pPr>
      <w:r w:rsidRPr="00BC4289">
        <w:rPr>
          <w:rFonts w:ascii="Century" w:hAnsi="Century" w:cs="Arial"/>
          <w:sz w:val="22"/>
          <w:szCs w:val="22"/>
        </w:rPr>
        <w:lastRenderedPageBreak/>
        <w:tab/>
      </w:r>
      <w:r w:rsidRPr="00BC4289">
        <w:rPr>
          <w:rFonts w:ascii="Century" w:hAnsi="Century" w:cs="Arial"/>
          <w:sz w:val="22"/>
          <w:szCs w:val="22"/>
        </w:rPr>
        <w:tab/>
      </w:r>
      <w:r w:rsidRPr="00BC4289">
        <w:rPr>
          <w:rFonts w:ascii="Century" w:hAnsi="Century" w:cs="Arial"/>
          <w:sz w:val="22"/>
          <w:szCs w:val="22"/>
        </w:rPr>
        <w:tab/>
      </w:r>
      <w:r w:rsidRPr="00BC4289">
        <w:rPr>
          <w:rFonts w:ascii="Century" w:hAnsi="Century" w:cs="Arial"/>
          <w:sz w:val="22"/>
          <w:szCs w:val="22"/>
        </w:rPr>
        <w:tab/>
      </w:r>
      <w:r w:rsidR="00473CBE" w:rsidRPr="00BC4289">
        <w:rPr>
          <w:rFonts w:ascii="Century" w:hAnsi="Century" w:cs="Arial"/>
          <w:b/>
          <w:sz w:val="22"/>
          <w:szCs w:val="22"/>
        </w:rPr>
        <w:t>Artigo 3º -</w:t>
      </w:r>
      <w:r w:rsidR="00473CBE" w:rsidRPr="00BC4289">
        <w:rPr>
          <w:rFonts w:ascii="Century" w:hAnsi="Century" w:cs="Arial"/>
          <w:sz w:val="22"/>
          <w:szCs w:val="22"/>
        </w:rPr>
        <w:t xml:space="preserve"> com as alterações das alíquotas de contribuição normal e recuperação do passivo atuarial, previstas nos artigos 1º e 2º, o município passará a contribuir ao RPPS,</w:t>
      </w:r>
      <w:r w:rsidR="007700E7" w:rsidRPr="00BC4289">
        <w:rPr>
          <w:rFonts w:ascii="Century" w:hAnsi="Century" w:cs="Arial"/>
          <w:sz w:val="22"/>
          <w:szCs w:val="22"/>
        </w:rPr>
        <w:t xml:space="preserve"> com</w:t>
      </w:r>
      <w:r w:rsidR="00473CBE" w:rsidRPr="00BC4289">
        <w:rPr>
          <w:rFonts w:ascii="Century" w:hAnsi="Century" w:cs="Arial"/>
          <w:sz w:val="22"/>
          <w:szCs w:val="22"/>
        </w:rPr>
        <w:t xml:space="preserve"> 22,95% (vinte e dois vírgula noventa e cinco por cento) incidente sobre a base de cálculo prevista no art. 17, I a V, da Lei Municipal nº 1208/2016.</w:t>
      </w:r>
    </w:p>
    <w:p w:rsidR="00A2598D" w:rsidRPr="00473CBE" w:rsidRDefault="00A2598D" w:rsidP="00A2598D">
      <w:pPr>
        <w:pStyle w:val="Corpodetexto"/>
        <w:rPr>
          <w:rFonts w:ascii="Century" w:hAnsi="Century" w:cs="Arial"/>
          <w:sz w:val="22"/>
          <w:szCs w:val="22"/>
        </w:rPr>
      </w:pPr>
      <w:r w:rsidRPr="00473CBE">
        <w:rPr>
          <w:rFonts w:ascii="Century" w:hAnsi="Century" w:cs="Arial"/>
          <w:sz w:val="22"/>
          <w:szCs w:val="22"/>
        </w:rPr>
        <w:tab/>
      </w:r>
      <w:r w:rsidRPr="00473CBE">
        <w:rPr>
          <w:rFonts w:ascii="Century" w:hAnsi="Century" w:cs="Arial"/>
          <w:sz w:val="22"/>
          <w:szCs w:val="22"/>
        </w:rPr>
        <w:tab/>
      </w:r>
    </w:p>
    <w:p w:rsidR="00A2598D" w:rsidRPr="00473CBE" w:rsidRDefault="00016EF3" w:rsidP="00A2598D">
      <w:pPr>
        <w:jc w:val="both"/>
        <w:rPr>
          <w:rFonts w:ascii="Century" w:hAnsi="Century" w:cs="Arial"/>
          <w:sz w:val="22"/>
          <w:szCs w:val="22"/>
        </w:rPr>
      </w:pPr>
      <w:r>
        <w:rPr>
          <w:rFonts w:ascii="Century" w:hAnsi="Century" w:cs="Arial"/>
          <w:sz w:val="22"/>
          <w:szCs w:val="22"/>
        </w:rPr>
        <w:t xml:space="preserve">    </w:t>
      </w:r>
      <w:r>
        <w:rPr>
          <w:rFonts w:ascii="Century" w:hAnsi="Century" w:cs="Arial"/>
          <w:sz w:val="22"/>
          <w:szCs w:val="22"/>
        </w:rPr>
        <w:tab/>
      </w:r>
      <w:r>
        <w:rPr>
          <w:rFonts w:ascii="Century" w:hAnsi="Century" w:cs="Arial"/>
          <w:sz w:val="22"/>
          <w:szCs w:val="22"/>
        </w:rPr>
        <w:tab/>
      </w:r>
      <w:r w:rsidR="00A2598D" w:rsidRPr="00473CBE">
        <w:rPr>
          <w:rFonts w:ascii="Century" w:hAnsi="Century" w:cs="Arial"/>
          <w:sz w:val="22"/>
          <w:szCs w:val="22"/>
        </w:rPr>
        <w:tab/>
      </w:r>
      <w:r w:rsidR="00A2598D" w:rsidRPr="00473CBE">
        <w:rPr>
          <w:rFonts w:ascii="Century" w:hAnsi="Century" w:cs="Arial"/>
          <w:sz w:val="22"/>
          <w:szCs w:val="22"/>
        </w:rPr>
        <w:tab/>
      </w:r>
      <w:r w:rsidR="00A2598D" w:rsidRPr="00473CBE">
        <w:rPr>
          <w:rFonts w:ascii="Century" w:hAnsi="Century" w:cs="Arial"/>
          <w:b/>
          <w:sz w:val="22"/>
          <w:szCs w:val="22"/>
        </w:rPr>
        <w:t>Art. 4.º -</w:t>
      </w:r>
      <w:r w:rsidR="00A2598D" w:rsidRPr="00473CBE">
        <w:rPr>
          <w:rFonts w:ascii="Century" w:hAnsi="Century" w:cs="Arial"/>
          <w:sz w:val="22"/>
          <w:szCs w:val="22"/>
        </w:rPr>
        <w:t xml:space="preserve"> revogadas as disposições em contrário, esta lei entrará em vigor na data de sua publicação, com efeitos a parti</w:t>
      </w:r>
      <w:r w:rsidR="00492E58" w:rsidRPr="00473CBE">
        <w:rPr>
          <w:rFonts w:ascii="Century" w:hAnsi="Century" w:cs="Arial"/>
          <w:sz w:val="22"/>
          <w:szCs w:val="22"/>
        </w:rPr>
        <w:t>r de Primeiro de janeiro de 2018</w:t>
      </w:r>
      <w:r w:rsidR="00A2598D" w:rsidRPr="00473CBE">
        <w:rPr>
          <w:rFonts w:ascii="Century" w:hAnsi="Century" w:cs="Arial"/>
          <w:sz w:val="22"/>
          <w:szCs w:val="22"/>
        </w:rPr>
        <w:t>.</w:t>
      </w:r>
    </w:p>
    <w:p w:rsidR="00A2598D" w:rsidRPr="00473CBE" w:rsidRDefault="00A2598D" w:rsidP="00A2598D">
      <w:pPr>
        <w:jc w:val="both"/>
        <w:rPr>
          <w:rFonts w:ascii="Century" w:hAnsi="Century" w:cs="Arial"/>
          <w:sz w:val="22"/>
          <w:szCs w:val="22"/>
        </w:rPr>
      </w:pPr>
    </w:p>
    <w:p w:rsidR="00A2598D" w:rsidRPr="00473CBE" w:rsidRDefault="00A2598D" w:rsidP="00A2598D">
      <w:pPr>
        <w:jc w:val="both"/>
        <w:rPr>
          <w:rFonts w:ascii="Century" w:hAnsi="Century" w:cs="Arial"/>
          <w:sz w:val="22"/>
          <w:szCs w:val="22"/>
        </w:rPr>
      </w:pPr>
      <w:r w:rsidRPr="00473CBE">
        <w:rPr>
          <w:rFonts w:ascii="Century" w:hAnsi="Century" w:cs="Arial"/>
          <w:sz w:val="22"/>
          <w:szCs w:val="22"/>
        </w:rPr>
        <w:tab/>
      </w:r>
      <w:r w:rsidRPr="00473CBE">
        <w:rPr>
          <w:rFonts w:ascii="Century" w:hAnsi="Century" w:cs="Arial"/>
          <w:sz w:val="22"/>
          <w:szCs w:val="22"/>
        </w:rPr>
        <w:tab/>
      </w:r>
    </w:p>
    <w:p w:rsidR="00A2598D" w:rsidRPr="00473CBE" w:rsidRDefault="00492E58" w:rsidP="000504A1">
      <w:pPr>
        <w:ind w:left="2832" w:firstLine="708"/>
        <w:jc w:val="center"/>
        <w:rPr>
          <w:rFonts w:ascii="Century" w:hAnsi="Century" w:cs="Arial"/>
          <w:b/>
          <w:sz w:val="22"/>
          <w:szCs w:val="22"/>
        </w:rPr>
      </w:pPr>
      <w:proofErr w:type="gramStart"/>
      <w:r w:rsidRPr="00473CBE">
        <w:rPr>
          <w:rFonts w:ascii="Century" w:hAnsi="Century" w:cs="Arial"/>
          <w:b/>
          <w:sz w:val="22"/>
          <w:szCs w:val="22"/>
        </w:rPr>
        <w:t>MARCOS DO NASCIMENTO SANTOS</w:t>
      </w:r>
      <w:proofErr w:type="gramEnd"/>
    </w:p>
    <w:p w:rsidR="00A2598D" w:rsidRPr="00473CBE" w:rsidRDefault="00016EF3" w:rsidP="00016EF3">
      <w:pPr>
        <w:ind w:firstLine="708"/>
        <w:jc w:val="center"/>
        <w:rPr>
          <w:rFonts w:ascii="Century" w:hAnsi="Century" w:cs="Arial"/>
          <w:b/>
          <w:sz w:val="22"/>
          <w:szCs w:val="22"/>
        </w:rPr>
      </w:pPr>
      <w:r>
        <w:rPr>
          <w:rFonts w:ascii="Century" w:hAnsi="Century" w:cs="Arial"/>
          <w:b/>
          <w:sz w:val="22"/>
          <w:szCs w:val="22"/>
        </w:rPr>
        <w:t xml:space="preserve">   </w:t>
      </w:r>
      <w:r w:rsidR="000504A1">
        <w:rPr>
          <w:rFonts w:ascii="Century" w:hAnsi="Century" w:cs="Arial"/>
          <w:b/>
          <w:sz w:val="22"/>
          <w:szCs w:val="22"/>
        </w:rPr>
        <w:tab/>
      </w:r>
      <w:r w:rsidR="000504A1">
        <w:rPr>
          <w:rFonts w:ascii="Century" w:hAnsi="Century" w:cs="Arial"/>
          <w:b/>
          <w:sz w:val="22"/>
          <w:szCs w:val="22"/>
        </w:rPr>
        <w:tab/>
      </w:r>
      <w:r w:rsidR="000504A1">
        <w:rPr>
          <w:rFonts w:ascii="Century" w:hAnsi="Century" w:cs="Arial"/>
          <w:b/>
          <w:sz w:val="22"/>
          <w:szCs w:val="22"/>
        </w:rPr>
        <w:tab/>
      </w:r>
      <w:r w:rsidR="000504A1">
        <w:rPr>
          <w:rFonts w:ascii="Century" w:hAnsi="Century" w:cs="Arial"/>
          <w:b/>
          <w:sz w:val="22"/>
          <w:szCs w:val="22"/>
        </w:rPr>
        <w:tab/>
      </w:r>
      <w:r>
        <w:rPr>
          <w:rFonts w:ascii="Century" w:hAnsi="Century" w:cs="Arial"/>
          <w:b/>
          <w:sz w:val="22"/>
          <w:szCs w:val="22"/>
        </w:rPr>
        <w:t xml:space="preserve">  </w:t>
      </w:r>
      <w:r w:rsidR="00A2598D" w:rsidRPr="00473CBE">
        <w:rPr>
          <w:rFonts w:ascii="Century" w:hAnsi="Century" w:cs="Arial"/>
          <w:b/>
          <w:sz w:val="22"/>
          <w:szCs w:val="22"/>
        </w:rPr>
        <w:t>Prefeito Municipal</w:t>
      </w:r>
    </w:p>
    <w:p w:rsidR="000504A1" w:rsidRDefault="000504A1" w:rsidP="000504A1">
      <w:pPr>
        <w:rPr>
          <w:rFonts w:ascii="Century" w:hAnsi="Century" w:cs="Arial"/>
          <w:sz w:val="22"/>
          <w:szCs w:val="22"/>
        </w:rPr>
      </w:pPr>
      <w:r>
        <w:rPr>
          <w:rFonts w:ascii="Century" w:hAnsi="Century" w:cs="Arial"/>
          <w:sz w:val="22"/>
          <w:szCs w:val="22"/>
        </w:rPr>
        <w:t xml:space="preserve">Registre-se e publique-se </w:t>
      </w:r>
    </w:p>
    <w:p w:rsidR="000504A1" w:rsidRDefault="000504A1" w:rsidP="000504A1">
      <w:pPr>
        <w:rPr>
          <w:rFonts w:ascii="Century" w:hAnsi="Century" w:cs="Arial"/>
          <w:sz w:val="22"/>
          <w:szCs w:val="22"/>
        </w:rPr>
      </w:pPr>
      <w:r>
        <w:rPr>
          <w:rFonts w:ascii="Century" w:hAnsi="Century" w:cs="Arial"/>
          <w:sz w:val="22"/>
          <w:szCs w:val="22"/>
        </w:rPr>
        <w:t>Data supra</w:t>
      </w:r>
    </w:p>
    <w:p w:rsidR="000504A1" w:rsidRDefault="000504A1" w:rsidP="000504A1">
      <w:pPr>
        <w:rPr>
          <w:rFonts w:ascii="Century" w:hAnsi="Century" w:cs="Arial"/>
          <w:sz w:val="22"/>
          <w:szCs w:val="22"/>
        </w:rPr>
      </w:pPr>
    </w:p>
    <w:p w:rsidR="000504A1" w:rsidRDefault="000504A1" w:rsidP="000504A1">
      <w:pPr>
        <w:rPr>
          <w:rFonts w:ascii="Century" w:hAnsi="Century" w:cs="Arial"/>
          <w:sz w:val="22"/>
          <w:szCs w:val="22"/>
        </w:rPr>
      </w:pPr>
      <w:r>
        <w:rPr>
          <w:rFonts w:ascii="Century" w:hAnsi="Century" w:cs="Arial"/>
          <w:sz w:val="22"/>
          <w:szCs w:val="22"/>
        </w:rPr>
        <w:t xml:space="preserve">Sergio João </w:t>
      </w:r>
      <w:proofErr w:type="spellStart"/>
      <w:r>
        <w:rPr>
          <w:rFonts w:ascii="Century" w:hAnsi="Century" w:cs="Arial"/>
          <w:sz w:val="22"/>
          <w:szCs w:val="22"/>
        </w:rPr>
        <w:t>Pietrobelli</w:t>
      </w:r>
      <w:proofErr w:type="spellEnd"/>
    </w:p>
    <w:p w:rsidR="000504A1" w:rsidRPr="00473CBE" w:rsidRDefault="000504A1" w:rsidP="000504A1">
      <w:pPr>
        <w:rPr>
          <w:rFonts w:ascii="Century" w:hAnsi="Century" w:cs="Arial"/>
          <w:sz w:val="22"/>
          <w:szCs w:val="22"/>
        </w:rPr>
      </w:pPr>
      <w:r>
        <w:rPr>
          <w:rFonts w:ascii="Century" w:hAnsi="Century" w:cs="Arial"/>
          <w:sz w:val="22"/>
          <w:szCs w:val="22"/>
        </w:rPr>
        <w:t>Secretario Municipal de Administração</w:t>
      </w:r>
    </w:p>
    <w:p w:rsidR="00A2598D" w:rsidRPr="00473CBE" w:rsidRDefault="00A2598D" w:rsidP="00A2598D">
      <w:pPr>
        <w:jc w:val="center"/>
        <w:rPr>
          <w:rFonts w:ascii="Century" w:hAnsi="Century" w:cs="Arial"/>
          <w:sz w:val="22"/>
          <w:szCs w:val="22"/>
        </w:rPr>
      </w:pPr>
    </w:p>
    <w:p w:rsidR="00A2598D" w:rsidRPr="00473CBE" w:rsidRDefault="00A2598D" w:rsidP="00A2598D">
      <w:pPr>
        <w:jc w:val="center"/>
        <w:rPr>
          <w:rFonts w:ascii="Century" w:hAnsi="Century" w:cs="Arial"/>
          <w:sz w:val="22"/>
          <w:szCs w:val="22"/>
        </w:rPr>
      </w:pPr>
    </w:p>
    <w:p w:rsidR="00A2598D" w:rsidRPr="00473CBE" w:rsidRDefault="00A2598D" w:rsidP="00A2598D">
      <w:pPr>
        <w:jc w:val="center"/>
        <w:rPr>
          <w:rFonts w:ascii="Century" w:hAnsi="Century" w:cs="Arial"/>
          <w:sz w:val="22"/>
          <w:szCs w:val="22"/>
        </w:rPr>
      </w:pPr>
    </w:p>
    <w:p w:rsidR="00A2598D" w:rsidRPr="00473CBE" w:rsidRDefault="00A2598D" w:rsidP="00A2598D">
      <w:pPr>
        <w:jc w:val="center"/>
        <w:rPr>
          <w:rFonts w:ascii="Century" w:hAnsi="Century" w:cs="Arial"/>
          <w:sz w:val="22"/>
          <w:szCs w:val="22"/>
        </w:rPr>
      </w:pPr>
    </w:p>
    <w:p w:rsidR="00A2598D" w:rsidRPr="00473CBE" w:rsidRDefault="00A2598D" w:rsidP="00A2598D">
      <w:pPr>
        <w:jc w:val="center"/>
        <w:rPr>
          <w:rFonts w:ascii="Century" w:hAnsi="Century" w:cs="Arial"/>
          <w:sz w:val="22"/>
          <w:szCs w:val="22"/>
        </w:rPr>
      </w:pPr>
    </w:p>
    <w:p w:rsidR="00A2598D" w:rsidRPr="00473CBE" w:rsidRDefault="00A2598D" w:rsidP="00A2598D">
      <w:pPr>
        <w:jc w:val="center"/>
        <w:rPr>
          <w:rFonts w:ascii="Century" w:hAnsi="Century" w:cs="Arial"/>
          <w:sz w:val="22"/>
          <w:szCs w:val="22"/>
        </w:rPr>
      </w:pPr>
    </w:p>
    <w:p w:rsidR="00A2598D" w:rsidRPr="00473CBE" w:rsidRDefault="00A2598D" w:rsidP="00A2598D">
      <w:pPr>
        <w:jc w:val="center"/>
        <w:rPr>
          <w:rFonts w:ascii="Century" w:hAnsi="Century" w:cs="Arial"/>
          <w:sz w:val="22"/>
          <w:szCs w:val="22"/>
        </w:rPr>
      </w:pPr>
    </w:p>
    <w:p w:rsidR="00A2598D" w:rsidRPr="00473CBE" w:rsidRDefault="00A2598D" w:rsidP="00A2598D">
      <w:pPr>
        <w:jc w:val="center"/>
        <w:rPr>
          <w:rFonts w:ascii="Century" w:hAnsi="Century" w:cs="Arial"/>
          <w:sz w:val="22"/>
          <w:szCs w:val="22"/>
        </w:rPr>
      </w:pPr>
    </w:p>
    <w:p w:rsidR="00A2598D" w:rsidRPr="00473CBE" w:rsidRDefault="00A2598D" w:rsidP="00A2598D">
      <w:pPr>
        <w:jc w:val="center"/>
        <w:rPr>
          <w:rFonts w:ascii="Century" w:hAnsi="Century" w:cs="Arial"/>
          <w:sz w:val="22"/>
          <w:szCs w:val="22"/>
        </w:rPr>
      </w:pPr>
    </w:p>
    <w:p w:rsidR="00A2598D" w:rsidRPr="00473CBE" w:rsidRDefault="00A2598D" w:rsidP="00A2598D">
      <w:pPr>
        <w:jc w:val="center"/>
        <w:rPr>
          <w:rFonts w:ascii="Century" w:hAnsi="Century" w:cs="Arial"/>
          <w:sz w:val="22"/>
          <w:szCs w:val="22"/>
        </w:rPr>
      </w:pPr>
    </w:p>
    <w:p w:rsidR="00A2598D" w:rsidRPr="00473CBE" w:rsidRDefault="00A2598D" w:rsidP="00A2598D">
      <w:pPr>
        <w:jc w:val="center"/>
        <w:rPr>
          <w:rFonts w:ascii="Century" w:hAnsi="Century" w:cs="Arial"/>
          <w:sz w:val="22"/>
          <w:szCs w:val="22"/>
        </w:rPr>
      </w:pPr>
    </w:p>
    <w:p w:rsidR="00A2598D" w:rsidRPr="00473CBE" w:rsidRDefault="00A2598D" w:rsidP="00A2598D">
      <w:pPr>
        <w:jc w:val="center"/>
        <w:rPr>
          <w:rFonts w:ascii="Century" w:hAnsi="Century" w:cs="Arial"/>
          <w:sz w:val="22"/>
          <w:szCs w:val="22"/>
        </w:rPr>
      </w:pPr>
    </w:p>
    <w:p w:rsidR="00A2598D" w:rsidRPr="00473CBE" w:rsidRDefault="00A2598D" w:rsidP="00A2598D">
      <w:pPr>
        <w:jc w:val="center"/>
        <w:rPr>
          <w:rFonts w:ascii="Century" w:hAnsi="Century" w:cs="Arial"/>
          <w:sz w:val="22"/>
          <w:szCs w:val="22"/>
        </w:rPr>
      </w:pPr>
    </w:p>
    <w:p w:rsidR="00A2598D" w:rsidRPr="00473CBE" w:rsidRDefault="00A2598D" w:rsidP="00A2598D">
      <w:pPr>
        <w:jc w:val="center"/>
        <w:rPr>
          <w:rFonts w:ascii="Century" w:hAnsi="Century" w:cs="Arial"/>
          <w:sz w:val="22"/>
          <w:szCs w:val="22"/>
        </w:rPr>
      </w:pPr>
    </w:p>
    <w:p w:rsidR="001E6B57" w:rsidRPr="00473CBE" w:rsidRDefault="001E6B57" w:rsidP="00A2598D">
      <w:pPr>
        <w:jc w:val="center"/>
        <w:rPr>
          <w:rFonts w:ascii="Century" w:hAnsi="Century" w:cs="Arial"/>
          <w:sz w:val="22"/>
          <w:szCs w:val="22"/>
        </w:rPr>
      </w:pPr>
    </w:p>
    <w:p w:rsidR="001E6B57" w:rsidRPr="00473CBE" w:rsidRDefault="001E6B57" w:rsidP="00A2598D">
      <w:pPr>
        <w:jc w:val="center"/>
        <w:rPr>
          <w:rFonts w:ascii="Century" w:hAnsi="Century" w:cs="Arial"/>
          <w:sz w:val="22"/>
          <w:szCs w:val="22"/>
        </w:rPr>
      </w:pPr>
    </w:p>
    <w:p w:rsidR="001E6B57" w:rsidRPr="00473CBE" w:rsidRDefault="001E6B57" w:rsidP="00A2598D">
      <w:pPr>
        <w:jc w:val="center"/>
        <w:rPr>
          <w:rFonts w:ascii="Century" w:hAnsi="Century" w:cs="Arial"/>
          <w:sz w:val="22"/>
          <w:szCs w:val="22"/>
        </w:rPr>
      </w:pPr>
    </w:p>
    <w:p w:rsidR="001E6B57" w:rsidRPr="00473CBE" w:rsidRDefault="001E6B57" w:rsidP="00A2598D">
      <w:pPr>
        <w:jc w:val="center"/>
        <w:rPr>
          <w:rFonts w:ascii="Century" w:hAnsi="Century" w:cs="Arial"/>
          <w:sz w:val="22"/>
          <w:szCs w:val="22"/>
        </w:rPr>
      </w:pPr>
    </w:p>
    <w:p w:rsidR="001E6B57" w:rsidRPr="00473CBE" w:rsidRDefault="001E6B57" w:rsidP="00A2598D">
      <w:pPr>
        <w:jc w:val="center"/>
        <w:rPr>
          <w:rFonts w:ascii="Century" w:hAnsi="Century" w:cs="Arial"/>
          <w:sz w:val="22"/>
          <w:szCs w:val="22"/>
        </w:rPr>
      </w:pPr>
    </w:p>
    <w:p w:rsidR="001E6B57" w:rsidRPr="00473CBE" w:rsidRDefault="001E6B57" w:rsidP="00A2598D">
      <w:pPr>
        <w:jc w:val="center"/>
        <w:rPr>
          <w:rFonts w:ascii="Century" w:hAnsi="Century" w:cs="Arial"/>
          <w:sz w:val="22"/>
          <w:szCs w:val="22"/>
        </w:rPr>
      </w:pPr>
    </w:p>
    <w:p w:rsidR="001E6B57" w:rsidRPr="00473CBE" w:rsidRDefault="001E6B57" w:rsidP="00A2598D">
      <w:pPr>
        <w:jc w:val="center"/>
        <w:rPr>
          <w:rFonts w:ascii="Century" w:hAnsi="Century" w:cs="Arial"/>
          <w:sz w:val="22"/>
          <w:szCs w:val="22"/>
        </w:rPr>
      </w:pPr>
    </w:p>
    <w:p w:rsidR="001E6B57" w:rsidRPr="00473CBE" w:rsidRDefault="001E6B57" w:rsidP="00A2598D">
      <w:pPr>
        <w:jc w:val="center"/>
        <w:rPr>
          <w:rFonts w:ascii="Century" w:hAnsi="Century" w:cs="Arial"/>
          <w:sz w:val="22"/>
          <w:szCs w:val="22"/>
        </w:rPr>
      </w:pPr>
    </w:p>
    <w:p w:rsidR="001E6B57" w:rsidRPr="00473CBE" w:rsidRDefault="001E6B57" w:rsidP="00A2598D">
      <w:pPr>
        <w:jc w:val="center"/>
        <w:rPr>
          <w:rFonts w:ascii="Century" w:hAnsi="Century" w:cs="Arial"/>
          <w:sz w:val="22"/>
          <w:szCs w:val="22"/>
        </w:rPr>
      </w:pPr>
    </w:p>
    <w:p w:rsidR="001E6B57" w:rsidRPr="00473CBE" w:rsidRDefault="001E6B57" w:rsidP="00A2598D">
      <w:pPr>
        <w:jc w:val="center"/>
        <w:rPr>
          <w:rFonts w:ascii="Century" w:hAnsi="Century" w:cs="Arial"/>
          <w:sz w:val="22"/>
          <w:szCs w:val="22"/>
        </w:rPr>
      </w:pPr>
    </w:p>
    <w:p w:rsidR="001E6B57" w:rsidRDefault="001E6B57" w:rsidP="00A2598D">
      <w:pPr>
        <w:jc w:val="center"/>
        <w:rPr>
          <w:rFonts w:ascii="Century" w:hAnsi="Century" w:cs="Arial"/>
          <w:sz w:val="22"/>
          <w:szCs w:val="22"/>
        </w:rPr>
      </w:pPr>
    </w:p>
    <w:p w:rsidR="007700E7" w:rsidRDefault="007700E7" w:rsidP="00A2598D">
      <w:pPr>
        <w:jc w:val="center"/>
        <w:rPr>
          <w:rFonts w:ascii="Century" w:hAnsi="Century" w:cs="Arial"/>
          <w:sz w:val="22"/>
          <w:szCs w:val="22"/>
        </w:rPr>
      </w:pPr>
    </w:p>
    <w:p w:rsidR="007700E7" w:rsidRDefault="007700E7" w:rsidP="00A2598D">
      <w:pPr>
        <w:jc w:val="center"/>
        <w:rPr>
          <w:rFonts w:ascii="Century" w:hAnsi="Century" w:cs="Arial"/>
          <w:sz w:val="22"/>
          <w:szCs w:val="22"/>
        </w:rPr>
      </w:pPr>
    </w:p>
    <w:p w:rsidR="00016EF3" w:rsidRDefault="00016EF3" w:rsidP="00A2598D">
      <w:pPr>
        <w:jc w:val="center"/>
        <w:rPr>
          <w:rFonts w:ascii="Century" w:hAnsi="Century" w:cs="Arial"/>
          <w:sz w:val="22"/>
          <w:szCs w:val="22"/>
        </w:rPr>
      </w:pPr>
    </w:p>
    <w:p w:rsidR="00016EF3" w:rsidRDefault="00016EF3" w:rsidP="00A2598D">
      <w:pPr>
        <w:jc w:val="center"/>
        <w:rPr>
          <w:rFonts w:ascii="Century" w:hAnsi="Century" w:cs="Arial"/>
          <w:sz w:val="22"/>
          <w:szCs w:val="22"/>
        </w:rPr>
      </w:pPr>
    </w:p>
    <w:sectPr w:rsidR="00016EF3" w:rsidSect="00B433A7">
      <w:pgSz w:w="11906" w:h="16838" w:code="9"/>
      <w:pgMar w:top="2552" w:right="1418" w:bottom="1418" w:left="1985" w:header="510" w:footer="65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C09"/>
    <w:rsid w:val="00016EF3"/>
    <w:rsid w:val="00046D0A"/>
    <w:rsid w:val="000504A1"/>
    <w:rsid w:val="00072C10"/>
    <w:rsid w:val="001E6B57"/>
    <w:rsid w:val="00453786"/>
    <w:rsid w:val="00473CBE"/>
    <w:rsid w:val="004860EB"/>
    <w:rsid w:val="00492E58"/>
    <w:rsid w:val="005334DF"/>
    <w:rsid w:val="007700E7"/>
    <w:rsid w:val="00795BA4"/>
    <w:rsid w:val="007F69D5"/>
    <w:rsid w:val="00841A45"/>
    <w:rsid w:val="00887A76"/>
    <w:rsid w:val="00897149"/>
    <w:rsid w:val="00A2598D"/>
    <w:rsid w:val="00B433A7"/>
    <w:rsid w:val="00B9591C"/>
    <w:rsid w:val="00BC4289"/>
    <w:rsid w:val="00C37A33"/>
    <w:rsid w:val="00D233A3"/>
    <w:rsid w:val="00E16A7B"/>
    <w:rsid w:val="00E1713D"/>
    <w:rsid w:val="00E37011"/>
    <w:rsid w:val="00EE692A"/>
    <w:rsid w:val="00FA1C09"/>
    <w:rsid w:val="00FC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B433A7"/>
    <w:pPr>
      <w:jc w:val="both"/>
    </w:pPr>
  </w:style>
  <w:style w:type="character" w:customStyle="1" w:styleId="CorpodetextoChar">
    <w:name w:val="Corpo de texto Char"/>
    <w:basedOn w:val="Fontepargpadro"/>
    <w:link w:val="Corpodetexto"/>
    <w:rsid w:val="00B433A7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B433A7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A2598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2598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504A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504A1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B433A7"/>
    <w:pPr>
      <w:jc w:val="both"/>
    </w:pPr>
  </w:style>
  <w:style w:type="character" w:customStyle="1" w:styleId="CorpodetextoChar">
    <w:name w:val="Corpo de texto Char"/>
    <w:basedOn w:val="Fontepargpadro"/>
    <w:link w:val="Corpodetexto"/>
    <w:rsid w:val="00B433A7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B433A7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A2598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2598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504A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504A1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2019-07-29T13:03:00Z</cp:lastPrinted>
  <dcterms:created xsi:type="dcterms:W3CDTF">2019-08-12T14:24:00Z</dcterms:created>
  <dcterms:modified xsi:type="dcterms:W3CDTF">2019-08-12T14:24:00Z</dcterms:modified>
</cp:coreProperties>
</file>